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СОДЕРЖАТЕЛЬНОЕ ОПИСАНИЯ ЦОК 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«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u w:val="single"/>
        </w:rPr>
        <w:t>Тема 1.3. Типовые средства измерения и область их применения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>»</w:t>
      </w:r>
    </w:p>
    <w:p>
      <w:pPr>
        <w:pStyle w:val="ListParagraph"/>
        <w:numPr>
          <w:ilvl w:val="0"/>
          <w:numId w:val="1"/>
        </w:numPr>
        <w:ind w:left="720" w:hanging="72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Информация о разработчике содержательного описания ЦОК</w:t>
      </w:r>
    </w:p>
    <w:tbl>
      <w:tblPr>
        <w:tblStyle w:val="153"/>
        <w:tblW w:w="14556" w:type="dxa"/>
        <w:jc w:val="left"/>
        <w:tblInd w:w="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109"/>
        <w:gridCol w:w="7446"/>
      </w:tblGrid>
      <w:tr>
        <w:trPr>
          <w:trHeight w:val="524" w:hRule="atLeast"/>
        </w:trPr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ФИО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Селезнева Светлана Вячеславовна</w:t>
            </w:r>
          </w:p>
        </w:tc>
      </w:tr>
      <w:tr>
        <w:trPr>
          <w:trHeight w:val="754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Место работы / регалии разработчика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ФГБОУ ВО Пензенский ГАУ</w:t>
            </w:r>
          </w:p>
        </w:tc>
      </w:tr>
      <w:tr>
        <w:trPr>
          <w:trHeight w:val="545" w:hRule="atLeast"/>
        </w:trPr>
        <w:tc>
          <w:tcPr>
            <w:tcW w:w="7109" w:type="dxa"/>
            <w:tcBorders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Дата</w:t>
            </w:r>
          </w:p>
        </w:tc>
        <w:tc>
          <w:tcPr>
            <w:tcW w:w="74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12.09.2022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heading=h.3znysh7"/>
      <w:bookmarkEnd w:id="0"/>
    </w:p>
    <w:p>
      <w:pPr>
        <w:pStyle w:val="Normal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 xml:space="preserve">2. </w:t>
      </w:r>
      <w:r>
        <w:rPr>
          <w:rFonts w:cs="Times New Roman" w:ascii="Times New Roman" w:hAnsi="Times New Roman"/>
          <w:b/>
          <w:color w:val="000000" w:themeColor="text1"/>
          <w:sz w:val="28"/>
          <w:szCs w:val="28"/>
        </w:rPr>
        <w:t>Общая информация по занятиям на основе ЦОК</w:t>
      </w:r>
    </w:p>
    <w:tbl>
      <w:tblPr>
        <w:tblStyle w:val="152"/>
        <w:tblW w:w="14663" w:type="dxa"/>
        <w:jc w:val="left"/>
        <w:tblInd w:w="0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firstRow="0" w:noVBand="1" w:lastRow="0" w:firstColumn="0" w:lastColumn="0" w:noHBand="1" w:val="0600"/>
      </w:tblPr>
      <w:tblGrid>
        <w:gridCol w:w="7080"/>
        <w:gridCol w:w="2123"/>
        <w:gridCol w:w="1701"/>
        <w:gridCol w:w="1868"/>
        <w:gridCol w:w="1867"/>
        <w:gridCol w:w="23"/>
      </w:tblGrid>
      <w:tr>
        <w:trPr>
          <w:trHeight w:val="340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ФГОС СПО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ПООП Профессионалитета</w:t>
            </w:r>
            <w:r>
              <w:rPr>
                <w:rFonts w:eastAsia="Arial Unicode MS" w:cs="Times New Roman" w:ascii="Times New Roman" w:hAnsi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sz w:val="28"/>
                <w:szCs w:val="28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u w:val="none"/>
              </w:rPr>
              <w:t>19.02.11 Технология продуктов питания из растительного сырья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Модуль. Дисциплина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000000" w:themeColor="text1"/>
                <w:sz w:val="24"/>
                <w:szCs w:val="24"/>
                <w:u w:val="none"/>
                <w:lang w:val="ru-RU"/>
              </w:rPr>
              <w:t>ОП.01.03 Автоматизация технологических процессов</w:t>
            </w:r>
          </w:p>
        </w:tc>
      </w:tr>
      <w:tr>
        <w:trPr>
          <w:trHeight w:val="146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Наименование раздела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Раздел 1. Средства измерений</w:t>
            </w:r>
          </w:p>
        </w:tc>
      </w:tr>
      <w:tr>
        <w:trPr>
          <w:trHeight w:val="2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Темы занятий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Тема 1.3. Типовые средства измерения и область их применения.</w:t>
            </w:r>
          </w:p>
        </w:tc>
      </w:tr>
      <w:tr>
        <w:trPr>
          <w:trHeight w:val="41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Тип занятий и форма проведения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i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tbl>
            <w:tblPr>
              <w:tblStyle w:val="a4"/>
              <w:tblW w:w="72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3630"/>
              <w:gridCol w:w="3629"/>
            </w:tblGrid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highlight w:val="black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Усвоение новых знаний и способов действия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10235246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 xml:space="preserve"> </w:t>
                          </w:r>
                          <w:r>
                            <w:rPr>
                              <w:rFonts w:cs="Times New Roman" w:ascii="Times New Roman" w:hAnsi="Times New Roman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Актуализация знаний и способов действия (закрепление)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571713269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Систематизация и обобщение знаний и способов действия 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52970074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 xml:space="preserve">☐ 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Комбинированное занятие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42209464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☐</w:t>
                          </w:r>
                          <w:r>
                            <w:rPr>
                              <w:rFonts w:eastAsia="Calibri"/>
                              <w:kern w:val="0"/>
                              <w:sz w:val="22"/>
                              <w:szCs w:val="22"/>
                              <w:lang w:val="ru-RU" w:eastAsia="en-US" w:bidi="ar-SA"/>
                            </w:rPr>
                            <w:t>Контроль знаний и способов действия</w:t>
                          </w:r>
                        </w:sdtContent>
                      </w:sdt>
                    </w:sdtContent>
                  </w:sdt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368958513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лекция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68198211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highlight w:val="black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практическое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595321838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лабораторное занятие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299379720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семинар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1094649197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консультация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eastAsia="Arial Unicode MS" w:cs="Segoe UI Symbol" w:ascii="Segoe UI Symbol" w:hAnsi="Segoe UI Symbol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☐</w:t>
                  </w:r>
                  <w:r>
                    <w:rPr>
                      <w:rFonts w:eastAsia="Arial Unicode MS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контрольная работа</w:t>
                  </w:r>
                </w:p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sdt>
                    <w:sdtPr>
                      <w:id w:val="348676702"/>
                    </w:sdtPr>
                    <w:sdtContent>
                      <w:sdt>
                        <w:sdtPr/>
                        <w:sdtContent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</w:r>
                          <w:r>
                            <w:rPr>
                              <w:rFonts w:eastAsia="Arial Unicode MS" w:cs="Segoe UI Symbol" w:ascii="Segoe UI Symbol" w:hAnsi="Segoe UI Symbol"/>
                              <w:color w:val="000000" w:themeColor="text1"/>
                              <w:kern w:val="0"/>
                              <w:sz w:val="24"/>
                              <w:szCs w:val="24"/>
                              <w:lang w:val="ru-RU" w:eastAsia="en-US" w:bidi="ar-SA"/>
                            </w:rPr>
                            <w:t>☐</w:t>
                          </w:r>
                        </w:sdtContent>
                      </w:sdt>
                    </w:sdtContent>
                  </w:sdt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 xml:space="preserve"> </w:t>
                  </w:r>
                  <w:r>
                    <w:rPr>
                      <w:rFonts w:eastAsia="Calibri" w:cs="Times New Roman" w:ascii="Times New Roman" w:hAnsi="Times New Roman"/>
                      <w:color w:val="000000" w:themeColor="text1"/>
                      <w:kern w:val="0"/>
                      <w:sz w:val="24"/>
                      <w:szCs w:val="24"/>
                      <w:lang w:val="ru-RU" w:eastAsia="en-US" w:bidi="ar-SA"/>
                    </w:rPr>
                    <w:t>другой (дискуссия, конференция, круглый стол, деловая игра, имитационно-ролевое моделирование и др.)</w:t>
                  </w:r>
                </w:p>
              </w:tc>
            </w:tr>
            <w:tr>
              <w:trPr/>
              <w:tc>
                <w:tcPr>
                  <w:tcW w:w="363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  <w:tc>
                <w:tcPr>
                  <w:tcW w:w="36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 w:val="false"/>
                    <w:suppressAutoHyphens w:val="true"/>
                    <w:spacing w:lineRule="auto" w:line="240" w:before="0" w:after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cs="Times New Roman" w:ascii="Times New Roman" w:hAnsi="Times New Roman"/>
                      <w:color w:val="000000" w:themeColor="text1"/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0" w:after="16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Уровень изучения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shd w:fill="000000" w:val="clear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1 – ознакомительный (узнавание ранее изученных объектов, свойств);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2 – репродуктивный (выполнение деятельности по образцу, инструкции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или под руководством);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</w:rPr>
            </w:pPr>
            <w:r>
              <w:rPr>
                <w:rFonts w:eastAsia="Arial Unicode MS" w:cs="Segoe UI Symbol" w:ascii="Segoe UI Symbol" w:hAnsi="Segoe UI Symbol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☐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ru-RU" w:bidi="ar-SA"/>
              </w:rPr>
              <w:t>3 – продуктивный (планирование и самостоятельное выполнение деятельности, решение проблемных задач).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Адаптация для студентов с ОВЗ</w:t>
            </w: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>
        <w:trPr>
          <w:trHeight w:val="877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Учебник 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Селевцов, Л.И. Автоматизация технологических процессов. Учебник для студ. учреждений среднего профессионального образования / Л.И. Селевцов, А.Л. Селевцов. - 2-е изд. испр. – М.: Издательский центр «Академия», 2012. – 352 с.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Ключевые слова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Arial Unicode MS" w:cs="Times New Roman"/>
                <w:kern w:val="0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автоматизации, прибор, датчик, класс точности, технологические процессы</w:t>
            </w:r>
          </w:p>
        </w:tc>
      </w:tr>
      <w:tr>
        <w:trPr>
          <w:trHeight w:val="543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b/>
                <w:b/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Базовые понятия, единые для среднего профессионального образования</w:t>
            </w:r>
          </w:p>
        </w:tc>
        <w:tc>
          <w:tcPr>
            <w:tcW w:w="2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Средства автоматизации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</w:p>
        </w:tc>
        <w:tc>
          <w:tcPr>
            <w:tcW w:w="23" w:type="dxa"/>
            <w:tcBorders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Arial Unicode MS" w:cs="Times New Roman"/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 Unicode MS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</w:r>
          </w:p>
        </w:tc>
      </w:tr>
      <w:tr>
        <w:trPr>
          <w:trHeight w:val="411" w:hRule="atLeast"/>
        </w:trPr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b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Краткое описание</w:t>
            </w:r>
          </w:p>
        </w:tc>
        <w:tc>
          <w:tcPr>
            <w:tcW w:w="75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Конспект занятия по теме «Типовые средства измерения и область их применения»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>Практическое занятия по теме «Типовые средства измерения и область их применения»</w:t>
            </w:r>
          </w:p>
        </w:tc>
      </w:tr>
    </w:tbl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b/>
          <w:b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b/>
          <w:sz w:val="28"/>
          <w:szCs w:val="28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3. Тематическое содержание и планируемые результаты: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color w:val="111111"/>
        </w:rPr>
      </w:pP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В результате проведения занятий на основе ЦОК по МДМ.01 Междисциплинарному модулю по производству продуктов питания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val="ru-RU" w:eastAsia="ru-RU"/>
        </w:rPr>
        <w:t xml:space="preserve"> из растительного сырья </w:t>
      </w:r>
      <w:r>
        <w:rPr>
          <w:rFonts w:eastAsia="Calibri" w:cs="Times New Roman" w:ascii="Times New Roman" w:hAnsi="Times New Roman"/>
          <w:color w:val="111111"/>
          <w:sz w:val="24"/>
          <w:szCs w:val="24"/>
          <w:lang w:eastAsia="ru-RU"/>
        </w:rPr>
        <w:t>(ОП.01.03 Автоматизация технологических процессов) обучающийся должен освоить общие и профессиональные компетенции: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общих компетенций: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-ОК 01.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распознавать задачу и/или проблему </w:t>
      </w:r>
      <w:r>
        <w:rPr>
          <w:rFonts w:cs="Times New Roman" w:ascii="Times New Roman" w:hAnsi="Times New Roman"/>
          <w:sz w:val="24"/>
          <w:szCs w:val="24"/>
        </w:rPr>
        <w:t xml:space="preserve">в профессиональном и/или социальном контексте; анализировать задачу и/или проблему и выделять её составные части;  определять этапы решения задачи; выявлять и эффективно искать информацию, необходимую для решения задачи и/или проблемы; составлять план действия;  определять необходимые ресурсы; владеть актуальными методами работы в профессиональной и смежных сферах; реализовывать составленный план;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оценивать результат и последствия своих действий (самостоятельно или с помощью наставника).</w:t>
      </w:r>
    </w:p>
    <w:p>
      <w:pPr>
        <w:pStyle w:val="Normal"/>
        <w:widowControl w:val="false"/>
        <w:spacing w:lineRule="auto" w:line="240" w:before="0" w:after="0"/>
        <w:jc w:val="both"/>
        <w:rPr/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02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 xml:space="preserve">. определять задачи для поиска информации;  </w:t>
      </w:r>
      <w:r>
        <w:rPr>
          <w:rFonts w:cs="Times New Roman" w:ascii="Times New Roman" w:hAnsi="Times New Roman"/>
          <w:sz w:val="24"/>
          <w:szCs w:val="24"/>
        </w:rPr>
        <w:t>определять необходимые источники информации;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планировать процесс поиска; структурировать получаемую информацию;  выделять наиболее значимое в перечне информации;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оценивать практическую значимость результатов поиска; 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</w: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использовать различные цифровые средства для решения профессиональных задач.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определять актуальность нормативно-правовой документации в профессиональной деятельности;  </w:t>
      </w:r>
      <w:r>
        <w:rPr>
          <w:rFonts w:cs="Times New Roman" w:ascii="Times New Roman" w:hAnsi="Times New Roman"/>
          <w:b w:val="false"/>
          <w:bCs w:val="false"/>
          <w:sz w:val="24"/>
          <w:szCs w:val="24"/>
        </w:rPr>
        <w:t xml:space="preserve">применять современную научную профессиональную терминологию;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и выстраивать траектории профессионального развития и самообразования.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04.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взаимодействовать с коллегами, руководством, клиентами в ходе профессиональной деятельности.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 xml:space="preserve">ОК 05.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06.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описывать значимость своей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07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. соблюдать нормы экологической безопасности; 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определять направления ресурсосбережения в рамках профессиональной деятельности по профессии (специальности), осуществлять работу с соблюдением принципов бережливого производства.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08.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 (специальности).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>-</w:t>
      </w:r>
      <w:r>
        <w:rPr>
          <w:rFonts w:eastAsia="Calibri" w:cs="Times New Roman" w:ascii="Times New Roman" w:hAnsi="Times New Roman"/>
          <w:b/>
          <w:bCs/>
          <w:i w:val="false"/>
          <w:iCs w:val="false"/>
          <w:sz w:val="24"/>
          <w:szCs w:val="24"/>
          <w:lang w:eastAsia="ru-RU"/>
        </w:rPr>
        <w:t>ОК 09.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sz w:val="24"/>
          <w:szCs w:val="24"/>
          <w:lang w:eastAsia="ru-RU"/>
        </w:rPr>
        <w:t xml:space="preserve"> кратко обосновывать и объяснять свои действия (текущие и планируемые).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i/>
          <w:i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i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Перечень профессиональных компетенций: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bCs/>
          <w:sz w:val="24"/>
          <w:szCs w:val="24"/>
          <w:lang w:eastAsia="ru-RU"/>
        </w:rPr>
        <w:t>ПК 2.2.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 xml:space="preserve"> использовать в производственной деятельности средства механизации и автоматизации технологических процессов;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проектировать, производить настройку и сборку систем автоматизации.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  <w:t>В результате освоения профессионального модуля на основе ЦОК обучающийся должен:</w:t>
      </w:r>
    </w:p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Cs/>
          <w:sz w:val="24"/>
          <w:szCs w:val="24"/>
          <w:lang w:eastAsia="ru-RU"/>
        </w:rPr>
      </w:r>
    </w:p>
    <w:tbl>
      <w:tblPr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134"/>
        <w:gridCol w:w="12425"/>
      </w:tblGrid>
      <w:tr>
        <w:trPr>
          <w:trHeight w:val="644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 xml:space="preserve">Код ЗУ/ЗУН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</w:rPr>
              <w:t>Формулировка ЗУ/ЗУН</w:t>
            </w:r>
          </w:p>
        </w:tc>
      </w:tr>
      <w:tr>
        <w:trPr>
          <w:trHeight w:val="322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распознавать задачу и/или проблему </w:t>
              <w:br/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Уо 01.03 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этапы решения задачи;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действия;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необходимые ресурсы;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владеть актуальными методами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реализовывать составленный план;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01.09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02.05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02.06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02.07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оформлять результаты поиска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02.08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современную научную профессиональную терминологию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03.03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04.02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05.01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06.01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описывать значимость своей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07.02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08.02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 характерными для данной профессии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08.03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Уо 09.04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01.01</w:t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актуальный профессиональный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источники информации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ресурсы для решения задач и проблем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алгоритмы выполнения работ в профессиональной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смежных областях;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методы работы в профессиональной и смежных сферах;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плана для решения задач;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01.06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приемы структурирования информации;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02.04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современная научная и профессиональная терминология;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03.03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b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04.02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основы проектной деятельности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05.02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правила оформления документови построения устных сообщений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06.02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07.02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пути обеспечения ресурсосбережения;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07.04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принципы бережливого производства;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условия профессиональной деятельности и зоны риска физического здоровья для профессии (специальности);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08.04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средства профилактики перенапряжения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09.03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Зо 09.05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lineRule="auto" w:line="240" w:before="0"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чтения текстов профессиональной направленности.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автоматизации; использовать в производственной деятельности средства механизации и автоматизации технологических процессов; проектировать, производить настройку и сборку систем ав-томатизации;</w:t>
            </w:r>
          </w:p>
        </w:tc>
      </w:tr>
      <w:tr>
        <w:trPr>
          <w:trHeight w:val="306" w:hRule="atLeast"/>
        </w:trPr>
        <w:tc>
          <w:tcPr>
            <w:tcW w:w="2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/>
              <w:t>З.2.2.01</w:t>
            </w:r>
          </w:p>
        </w:tc>
        <w:tc>
          <w:tcPr>
            <w:tcW w:w="12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0"/>
              <w:widowControl w:val="false"/>
              <w:spacing w:before="0" w:after="16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о механизации и автоматизации производства, их задачи; принципы измерения, регулирования, контроля и автоматического управления параметрами технологического процесса; основные понятия автоматизированной обработки информации; классификацию автоматических систем и средств измерений; общие сведения об автоматизированных системах управления (далее - АСУ) и системах автоматического управления (далее - САУ); классификацию технических средств автоматизации; основные виды электрических, электронных, пневматических, гидравлических и комбинированных устройств, в том числе соответствующие датчики и исполнительные механизмы, </w:t>
            </w:r>
          </w:p>
        </w:tc>
      </w:tr>
    </w:tbl>
    <w:p>
      <w:pPr>
        <w:pStyle w:val="Normal"/>
        <w:spacing w:lineRule="auto" w:line="276" w:before="0" w:after="0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b/>
          <w:b/>
          <w:sz w:val="24"/>
          <w:szCs w:val="24"/>
          <w:lang w:eastAsia="ru-RU"/>
        </w:rPr>
      </w:pPr>
      <w:bookmarkStart w:id="1" w:name="_heading=h.2et92p0"/>
      <w:bookmarkEnd w:id="1"/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 Образовательный (учебный) материал: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>4.1 Понятийный (терминологический) аппарат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  <w:lang w:val="ru-RU"/>
        </w:rPr>
        <w:t>технические измерения</w:t>
      </w: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  <w:t xml:space="preserve">автоматизация; 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color w:val="000000" w:themeColor="text1"/>
          <w:sz w:val="24"/>
          <w:szCs w:val="24"/>
          <w:lang w:eastAsia="ru-RU"/>
        </w:rPr>
        <w:t>технические средства автоматизации</w:t>
      </w:r>
      <w:r>
        <w:rPr>
          <w:rFonts w:eastAsia="Calibri" w:cs="Times New Roman" w:ascii="Times New Roman" w:hAnsi="Times New Roman"/>
          <w:sz w:val="24"/>
          <w:szCs w:val="24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  <w:t>технологические процессы.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eastAsia="Calibri" w:cs="Times New Roman" w:ascii="Times New Roman" w:hAnsi="Times New Roman"/>
          <w:b/>
          <w:sz w:val="24"/>
          <w:szCs w:val="24"/>
          <w:lang w:eastAsia="ru-RU"/>
        </w:rPr>
        <w:t xml:space="preserve">4.2 Блочно-модульное описание занятий на основе ЦОК 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tbl>
      <w:tblPr>
        <w:tblStyle w:val="a4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853"/>
        <w:gridCol w:w="4853"/>
        <w:gridCol w:w="4854"/>
      </w:tblGrid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2"/>
                <w:szCs w:val="22"/>
                <w:lang w:val="ru-RU" w:eastAsia="en-US" w:bidi="ar-SA"/>
              </w:rPr>
              <w:t>БЛОК 1. Вхождение в тему и создание условий для осознанного восприятия нового материала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Содержание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БЛОК 2. Освоение нового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(1-2 модуля по выбору)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914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1.1.</w:t>
            </w: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Формирование новых знаний и способов деятельности (изложение нового материала)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Теоретическое занятие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19.02.11_ОП.01.03_Тема 1.2._ЭОМ</w:t>
            </w:r>
          </w:p>
        </w:tc>
      </w:tr>
      <w:tr>
        <w:trPr>
          <w:trHeight w:val="914" w:hRule="atLeast"/>
        </w:trPr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</w:rPr>
            </w:pPr>
            <w:r>
              <w:rPr>
                <w:rFonts w:eastAsia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Модуль 1.2.</w:t>
            </w:r>
            <w:r>
              <w:rPr>
                <w:rFonts w:eastAsia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Ведение нового содержания в систему ранее усвоенных, сформированных знаний и умений</w:t>
            </w:r>
          </w:p>
        </w:tc>
        <w:tc>
          <w:tcPr>
            <w:tcW w:w="4853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Практическое занятие</w:t>
            </w:r>
          </w:p>
        </w:tc>
        <w:tc>
          <w:tcPr>
            <w:tcW w:w="485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19.02.11_01.ОП.01.03_Тема 1.2._ЭОМ практика</w:t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3.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Применение изученного материала</w:t>
            </w:r>
          </w:p>
          <w:p>
            <w:pPr>
              <w:pStyle w:val="ListParagraph"/>
              <w:widowControl w:val="false"/>
              <w:suppressAutoHyphens w:val="true"/>
              <w:spacing w:lineRule="auto" w:line="240" w:before="0" w:after="0"/>
              <w:contextualSpacing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(добавляется при необходимости))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553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</w:tr>
      <w:tr>
        <w:trPr>
          <w:trHeight w:val="285" w:hRule="atLeast"/>
        </w:trPr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4.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Диагностика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>
          <w:trHeight w:val="136" w:hRule="atLeast"/>
        </w:trPr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-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2"/>
                <w:szCs w:val="22"/>
                <w:lang w:val="ru-RU" w:eastAsia="en-US" w:bidi="ar-SA"/>
              </w:rPr>
              <w:t>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</w:tc>
      </w:tr>
      <w:tr>
        <w:trPr/>
        <w:tc>
          <w:tcPr>
            <w:tcW w:w="14560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 xml:space="preserve">БЛОК 5. </w:t>
            </w: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Подведение итогов, домашнее задание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b/>
                <w:bCs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lang w:eastAsia="ru-RU"/>
              </w:rPr>
            </w:r>
          </w:p>
        </w:tc>
      </w:tr>
      <w:tr>
        <w:trPr/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" w:cs="Times New Roman" w:eastAsiaTheme="minorEastAsia"/>
                <w:b/>
                <w:b/>
                <w:bCs/>
                <w:lang w:eastAsia="ru-RU"/>
              </w:rPr>
            </w:pPr>
            <w:r>
              <w:rPr>
                <w:rFonts w:eastAsia="" w:cs="Times New Roman" w:ascii="Times New Roman" w:hAnsi="Times New Roman" w:eastAsiaTheme="minorEastAsia"/>
                <w:b/>
                <w:bCs/>
                <w:kern w:val="0"/>
                <w:sz w:val="22"/>
                <w:szCs w:val="22"/>
                <w:lang w:val="ru-RU" w:eastAsia="ru-RU" w:bidi="ar-SA"/>
              </w:rPr>
              <w:t>Наименование модуля</w:t>
            </w:r>
          </w:p>
        </w:tc>
        <w:tc>
          <w:tcPr>
            <w:tcW w:w="4853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 w:bidi="ar-SA"/>
              </w:rPr>
              <w:t>Виды ЭОМ</w:t>
            </w:r>
          </w:p>
        </w:tc>
        <w:tc>
          <w:tcPr>
            <w:tcW w:w="48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учебного материала</w:t>
            </w:r>
          </w:p>
        </w:tc>
      </w:tr>
      <w:tr>
        <w:trPr/>
        <w:tc>
          <w:tcPr>
            <w:tcW w:w="14560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</w:p>
        </w:tc>
      </w:tr>
    </w:tbl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5. Дополнительные источники информации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Автоматизация технологических процессов: Учебник для вузов, Издательство «КолосС», 2007. – 344 с.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Бородин И. Автоматизация технологических процессов и системы автоматического управления: Учебник для техникумов, Издательство «Колос», 2006. – 352 стр.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1134" w:leader="none"/>
        </w:tabs>
        <w:spacing w:lineRule="auto" w:line="240" w:before="0"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Курочкин А.А., Шабурова Г.В., Гордеев А.С. Оборудование и автоматизация перерабатывающих производств: Учебник для вузов, Издательство «КолосС», 2007. – 591 с.</w:t>
      </w:r>
    </w:p>
    <w:sectPr>
      <w:footerReference w:type="default" r:id="rId2"/>
      <w:type w:val="nextPage"/>
      <w:pgSz w:orient="landscape" w:w="16838" w:h="11906"/>
      <w:pgMar w:left="1134" w:right="1134" w:gutter="0" w:header="0" w:top="709" w:footer="709" w:bottom="76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egoe UI Symbo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43332337"/>
    </w:sdtPr>
    <w:sdtContent>
      <w:p>
        <w:pPr>
          <w:pStyle w:val="Style29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d12a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сноски Знак"/>
    <w:basedOn w:val="DefaultParagraphFont"/>
    <w:uiPriority w:val="99"/>
    <w:semiHidden/>
    <w:qFormat/>
    <w:rsid w:val="0000015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15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000159"/>
    <w:rPr>
      <w:vertAlign w:val="superscript"/>
    </w:rPr>
  </w:style>
  <w:style w:type="character" w:styleId="Style16">
    <w:name w:val="Hyperlink"/>
    <w:basedOn w:val="DefaultParagraphFont"/>
    <w:uiPriority w:val="99"/>
    <w:unhideWhenUsed/>
    <w:rsid w:val="00932ed7"/>
    <w:rPr>
      <w:color w:val="0563C1" w:themeColor="hyperlink"/>
      <w:u w:val="single"/>
    </w:rPr>
  </w:style>
  <w:style w:type="character" w:styleId="Style17" w:customStyle="1">
    <w:name w:val="Текст выноски Знак"/>
    <w:basedOn w:val="DefaultParagraphFont"/>
    <w:link w:val="BalloonText"/>
    <w:uiPriority w:val="99"/>
    <w:semiHidden/>
    <w:qFormat/>
    <w:rsid w:val="00932ed7"/>
    <w:rPr>
      <w:rFonts w:ascii="Segoe UI" w:hAnsi="Segoe UI" w:cs="Segoe UI"/>
      <w:sz w:val="18"/>
      <w:szCs w:val="18"/>
    </w:rPr>
  </w:style>
  <w:style w:type="character" w:styleId="Style18" w:customStyle="1">
    <w:name w:val="Верхний колонтитул Знак"/>
    <w:basedOn w:val="DefaultParagraphFont"/>
    <w:uiPriority w:val="99"/>
    <w:semiHidden/>
    <w:qFormat/>
    <w:rsid w:val="00e77430"/>
    <w:rPr/>
  </w:style>
  <w:style w:type="character" w:styleId="Style19" w:customStyle="1">
    <w:name w:val="Нижний колонтитул Знак"/>
    <w:basedOn w:val="DefaultParagraphFont"/>
    <w:uiPriority w:val="99"/>
    <w:qFormat/>
    <w:rsid w:val="00e77430"/>
    <w:rPr/>
  </w:style>
  <w:style w:type="character" w:styleId="Style20" w:customStyle="1">
    <w:name w:val="Без интервала Знак"/>
    <w:link w:val="NoSpacing"/>
    <w:uiPriority w:val="1"/>
    <w:qFormat/>
    <w:locked/>
    <w:rsid w:val="00b43db6"/>
    <w:rPr>
      <w:rFonts w:ascii="Calibri" w:hAnsi="Calibri" w:eastAsia="Times New Roman" w:cs="Times New Roman"/>
    </w:rPr>
  </w:style>
  <w:style w:type="paragraph" w:styleId="Style2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2">
    <w:name w:val="Body Text"/>
    <w:basedOn w:val="Normal"/>
    <w:pPr>
      <w:spacing w:lineRule="auto" w:line="276" w:before="0" w:after="140"/>
    </w:pPr>
    <w:rPr/>
  </w:style>
  <w:style w:type="paragraph" w:styleId="Style23">
    <w:name w:val="List"/>
    <w:basedOn w:val="Style22"/>
    <w:pPr/>
    <w:rPr>
      <w:rFonts w:cs="Lucida Sans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000159"/>
    <w:pPr>
      <w:spacing w:before="0" w:after="160"/>
      <w:ind w:left="720" w:hanging="0"/>
      <w:contextualSpacing/>
    </w:pPr>
    <w:rPr/>
  </w:style>
  <w:style w:type="paragraph" w:styleId="Style26">
    <w:name w:val="Footnote Text"/>
    <w:basedOn w:val="Normal"/>
    <w:link w:val="Style14"/>
    <w:uiPriority w:val="99"/>
    <w:semiHidden/>
    <w:unhideWhenUsed/>
    <w:rsid w:val="00000159"/>
    <w:pPr>
      <w:widowControl w:val="false"/>
      <w:spacing w:lineRule="auto" w:line="240" w:before="0" w:after="0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Style17"/>
    <w:uiPriority w:val="99"/>
    <w:semiHidden/>
    <w:unhideWhenUsed/>
    <w:qFormat/>
    <w:rsid w:val="00932ed7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8"/>
    <w:uiPriority w:val="99"/>
    <w:semiHidden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9"/>
    <w:uiPriority w:val="99"/>
    <w:unhideWhenUsed/>
    <w:rsid w:val="00e7743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NoSpacing">
    <w:name w:val="No Spacing"/>
    <w:link w:val="Style20"/>
    <w:uiPriority w:val="1"/>
    <w:qFormat/>
    <w:rsid w:val="00b43db6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001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">
    <w:name w:val="151"/>
    <w:basedOn w:val="a1"/>
    <w:rsid w:val="00ed6796"/>
    <w:pPr>
      <w:spacing w:after="0" w:line="240" w:lineRule="auto"/>
    </w:pPr>
    <w:rPr>
      <w:lang w:eastAsia="ru-RU"/>
    </w:rPr>
    <w:tblPr>
      <w:tblStyleRowBandSize w:val="1"/>
      <w:tblStyleColBandSize w:val="1"/>
    </w:tblPr>
  </w:style>
  <w:style w:type="table" w:customStyle="1" w:styleId="153">
    <w:name w:val="153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a1"/>
    <w:rsid w:val="00932ed7"/>
    <w:pPr>
      <w:spacing w:after="0" w:line="240" w:lineRule="auto"/>
    </w:pPr>
    <w:rPr>
      <w:lang w:eastAsia="ru-RU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BF1E7-9676-4A62-8757-BE439BDA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Application>LibreOffice/7.4.0.3$Windows_X86_64 LibreOffice_project/f85e47c08ddd19c015c0114a68350214f7066f5a</Application>
  <AppVersion>15.0000</AppVersion>
  <Pages>7</Pages>
  <Words>1323</Words>
  <Characters>10078</Characters>
  <CharactersWithSpaces>11224</CharactersWithSpaces>
  <Paragraphs>236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2022-09-22T15:07:00Z</dcterms:created>
  <dc:creator>Бурасова Светлана Владимировна</dc:creator>
  <dc:description/>
  <dc:language>ru-RU</dc:language>
  <cp:lastModifiedBy/>
  <cp:lastPrinted>2022-08-01T07:25:00Z</cp:lastPrinted>
  <dcterms:modified xsi:type="dcterms:W3CDTF">2022-11-17T15:14:24Z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